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B10F1" w14:textId="77777777" w:rsidR="00A24667" w:rsidRPr="00346C95" w:rsidRDefault="00A24667" w:rsidP="00A24667">
      <w:pPr>
        <w:spacing w:after="0" w:line="240" w:lineRule="exact"/>
        <w:jc w:val="center"/>
        <w:rPr>
          <w:rFonts w:ascii="Arial" w:hAnsi="Arial" w:cs="Arial"/>
          <w:b/>
          <w:color w:val="000000"/>
        </w:rPr>
      </w:pPr>
      <w:r w:rsidRPr="00346C95">
        <w:rPr>
          <w:rFonts w:ascii="Arial" w:hAnsi="Arial" w:cs="Arial"/>
          <w:b/>
          <w:color w:val="000000"/>
        </w:rPr>
        <w:t xml:space="preserve">JFPR9155 (BHU): Advancing Economic Opportunities of Women and Girls </w:t>
      </w:r>
    </w:p>
    <w:p w14:paraId="7D25DBFE" w14:textId="77777777" w:rsidR="00A24667" w:rsidRDefault="00A24667" w:rsidP="00A24667">
      <w:pPr>
        <w:spacing w:after="0" w:line="240" w:lineRule="exact"/>
        <w:jc w:val="center"/>
        <w:rPr>
          <w:rFonts w:ascii="Arial" w:hAnsi="Arial" w:cs="Arial"/>
          <w:b/>
          <w:color w:val="000000"/>
        </w:rPr>
      </w:pPr>
      <w:r w:rsidRPr="00346C95">
        <w:rPr>
          <w:rFonts w:ascii="Arial" w:hAnsi="Arial" w:cs="Arial"/>
          <w:b/>
          <w:color w:val="000000"/>
        </w:rPr>
        <w:t>Impact Evaluation Study for Component C</w:t>
      </w:r>
      <w:r>
        <w:rPr>
          <w:rFonts w:ascii="Arial" w:hAnsi="Arial" w:cs="Arial"/>
          <w:b/>
          <w:color w:val="000000"/>
        </w:rPr>
        <w:t xml:space="preserve">. </w:t>
      </w:r>
    </w:p>
    <w:p w14:paraId="30759570" w14:textId="77777777" w:rsidR="00A24667" w:rsidRPr="00346C95" w:rsidRDefault="00A24667" w:rsidP="00A24667">
      <w:pPr>
        <w:spacing w:after="0" w:line="240" w:lineRule="exact"/>
        <w:jc w:val="center"/>
        <w:rPr>
          <w:rFonts w:ascii="Arial" w:hAnsi="Arial" w:cs="Arial"/>
          <w:b/>
          <w:color w:val="000000"/>
        </w:rPr>
      </w:pPr>
    </w:p>
    <w:p w14:paraId="29F2AE66" w14:textId="77777777" w:rsidR="00A24667" w:rsidRPr="00346C95" w:rsidRDefault="00A24667" w:rsidP="00A24667">
      <w:pPr>
        <w:spacing w:after="0" w:line="240" w:lineRule="exact"/>
        <w:jc w:val="center"/>
        <w:rPr>
          <w:rFonts w:ascii="Arial" w:hAnsi="Arial" w:cs="Arial"/>
          <w:b/>
          <w:color w:val="000000"/>
        </w:rPr>
      </w:pPr>
      <w:r w:rsidRPr="00346C95">
        <w:rPr>
          <w:rFonts w:ascii="Arial" w:hAnsi="Arial" w:cs="Arial"/>
          <w:b/>
          <w:color w:val="000000"/>
        </w:rPr>
        <w:t xml:space="preserve">Terms of Reference </w:t>
      </w:r>
    </w:p>
    <w:p w14:paraId="5E19482F" w14:textId="77777777" w:rsidR="00A24667" w:rsidRPr="00346C95" w:rsidRDefault="00A24667" w:rsidP="00A24667">
      <w:pPr>
        <w:spacing w:after="0" w:line="240" w:lineRule="exact"/>
        <w:jc w:val="both"/>
        <w:rPr>
          <w:rFonts w:ascii="Arial" w:hAnsi="Arial" w:cs="Arial"/>
          <w:b/>
          <w:color w:val="000000"/>
        </w:rPr>
      </w:pPr>
    </w:p>
    <w:p w14:paraId="0AF317B5" w14:textId="77777777" w:rsidR="00A24667" w:rsidRPr="00346C95" w:rsidRDefault="00A24667" w:rsidP="00A24667">
      <w:pPr>
        <w:pStyle w:val="BodyText2"/>
        <w:tabs>
          <w:tab w:val="left" w:pos="720"/>
          <w:tab w:val="left" w:pos="6480"/>
        </w:tabs>
        <w:rPr>
          <w:rFonts w:ascii="Arial" w:hAnsi="Arial" w:cs="Arial"/>
          <w:szCs w:val="22"/>
        </w:rPr>
      </w:pPr>
      <w:r w:rsidRPr="00346C95">
        <w:rPr>
          <w:rFonts w:ascii="Arial" w:hAnsi="Arial" w:cs="Arial"/>
          <w:szCs w:val="22"/>
        </w:rPr>
        <w:t>The objective is to assess the distributional impacts and overall projects impacts from the Advancing Economic Opportunities of Women and Girls.  The project was designed to contribute in improving the economic status of vulnerable women and girls in selected urban and rural areas by enhancing their capacity to access livelihood (including microenterprise) and employment opportunities. The outputs are: (i) increased capacity of government and nongovernment organizations responsible for the economic empowerment of women; and (ii) increased economic benefits to women and girls resulting from improved capacity of SHGs to sustain livelihood and microenterprise activities and to access business development services, and increased employment opportunities for girls in selected districts.</w:t>
      </w:r>
    </w:p>
    <w:p w14:paraId="2AE12C0F" w14:textId="77777777" w:rsidR="00A24667" w:rsidRPr="00346C95" w:rsidRDefault="00A24667" w:rsidP="00A24667">
      <w:pPr>
        <w:spacing w:after="0" w:line="240" w:lineRule="exact"/>
        <w:jc w:val="both"/>
        <w:rPr>
          <w:rFonts w:ascii="Arial" w:hAnsi="Arial" w:cs="Arial"/>
          <w:color w:val="000000"/>
        </w:rPr>
      </w:pPr>
    </w:p>
    <w:p w14:paraId="1B6402DC" w14:textId="77777777" w:rsidR="00A24667" w:rsidRPr="00346C95" w:rsidRDefault="00A24667" w:rsidP="00A24667">
      <w:pPr>
        <w:spacing w:after="0" w:line="240" w:lineRule="exact"/>
        <w:jc w:val="both"/>
        <w:rPr>
          <w:rFonts w:ascii="Arial" w:hAnsi="Arial" w:cs="Arial"/>
          <w:color w:val="000000"/>
        </w:rPr>
      </w:pPr>
      <w:r w:rsidRPr="00346C95">
        <w:rPr>
          <w:rFonts w:ascii="Arial" w:hAnsi="Arial" w:cs="Arial"/>
          <w:color w:val="000000"/>
        </w:rPr>
        <w:t xml:space="preserve">The survey work will cover the districts of Samtse, Zhemgang, Pemagatshel ,Trashigang and districts where ATP is conducted. Data collection is expected to be completed within two months. The tasks that will be required of a </w:t>
      </w:r>
      <w:r w:rsidRPr="00346C95">
        <w:rPr>
          <w:rFonts w:ascii="Arial" w:hAnsi="Arial" w:cs="Arial"/>
          <w:b/>
          <w:color w:val="000000"/>
        </w:rPr>
        <w:t>National Consulting Firm</w:t>
      </w:r>
      <w:r w:rsidRPr="00346C95">
        <w:rPr>
          <w:rFonts w:ascii="Arial" w:hAnsi="Arial" w:cs="Arial"/>
          <w:color w:val="000000"/>
        </w:rPr>
        <w:t xml:space="preserve"> are as follows:</w:t>
      </w:r>
    </w:p>
    <w:p w14:paraId="66CE695E" w14:textId="77777777" w:rsidR="00A24667" w:rsidRPr="00346C95" w:rsidRDefault="00A24667" w:rsidP="00A24667">
      <w:pPr>
        <w:spacing w:after="0" w:line="240" w:lineRule="exact"/>
        <w:jc w:val="both"/>
        <w:rPr>
          <w:rFonts w:ascii="Arial" w:hAnsi="Arial" w:cs="Arial"/>
          <w:color w:val="000000"/>
        </w:rPr>
      </w:pPr>
    </w:p>
    <w:p w14:paraId="17AD24E0" w14:textId="77777777" w:rsidR="00A24667" w:rsidRPr="00346C95" w:rsidRDefault="00A24667" w:rsidP="00A24667">
      <w:pPr>
        <w:numPr>
          <w:ilvl w:val="0"/>
          <w:numId w:val="1"/>
        </w:numPr>
        <w:spacing w:after="0" w:line="240" w:lineRule="exact"/>
        <w:jc w:val="both"/>
        <w:rPr>
          <w:rFonts w:ascii="Arial" w:hAnsi="Arial" w:cs="Arial"/>
          <w:b/>
          <w:color w:val="000000"/>
        </w:rPr>
      </w:pPr>
      <w:r w:rsidRPr="00346C95">
        <w:rPr>
          <w:rFonts w:ascii="Arial" w:hAnsi="Arial" w:cs="Arial"/>
          <w:b/>
          <w:color w:val="000000"/>
        </w:rPr>
        <w:t>Design of Sample Frame</w:t>
      </w:r>
    </w:p>
    <w:p w14:paraId="686C642A" w14:textId="77777777" w:rsidR="00A24667" w:rsidRPr="00346C95" w:rsidRDefault="00A24667" w:rsidP="00A24667">
      <w:pPr>
        <w:spacing w:after="0" w:line="240" w:lineRule="exact"/>
        <w:ind w:left="360"/>
        <w:jc w:val="both"/>
        <w:rPr>
          <w:rFonts w:ascii="Arial" w:hAnsi="Arial" w:cs="Arial"/>
          <w:color w:val="000000"/>
        </w:rPr>
      </w:pPr>
    </w:p>
    <w:p w14:paraId="214B8157" w14:textId="77777777" w:rsidR="00A24667" w:rsidRPr="00346C95" w:rsidRDefault="00A24667" w:rsidP="00A24667">
      <w:pPr>
        <w:numPr>
          <w:ilvl w:val="1"/>
          <w:numId w:val="1"/>
        </w:numPr>
        <w:spacing w:after="0" w:line="240" w:lineRule="exact"/>
        <w:jc w:val="both"/>
        <w:rPr>
          <w:rFonts w:ascii="Arial" w:hAnsi="Arial" w:cs="Arial"/>
          <w:color w:val="000000"/>
        </w:rPr>
      </w:pPr>
      <w:r w:rsidRPr="00346C95">
        <w:rPr>
          <w:rFonts w:ascii="Arial" w:hAnsi="Arial" w:cs="Arial"/>
          <w:b/>
          <w:iCs/>
          <w:color w:val="000000"/>
        </w:rPr>
        <w:t>SHG component: Design the appropriate sample from which to select households to be part of the Control Group</w:t>
      </w:r>
      <w:r w:rsidRPr="00346C95">
        <w:rPr>
          <w:rFonts w:ascii="Arial" w:hAnsi="Arial" w:cs="Arial"/>
          <w:iCs/>
          <w:color w:val="000000"/>
        </w:rPr>
        <w:t xml:space="preserve">. </w:t>
      </w:r>
      <w:r w:rsidRPr="00346C95">
        <w:rPr>
          <w:rFonts w:ascii="Arial" w:hAnsi="Arial" w:cs="Arial"/>
          <w:color w:val="000000"/>
        </w:rPr>
        <w:t xml:space="preserve"> The target number of households to survey is  754 Households, with 377 who are members of SHGs and 377 individuals in the Control Group who are not members of the SHGs, but are characteristically similar and reside in villages roughly similar to that of the SHG members in terms of gender, age, and education.  These individuals in the Control Group should be randomly selected from other villages that have not received any opportunities to join SHGs.  Ideally this will be selected from a rough sample census of the three districts covered by the programs.</w:t>
      </w:r>
    </w:p>
    <w:p w14:paraId="68ADB787" w14:textId="77777777" w:rsidR="00A24667" w:rsidRPr="00346C95" w:rsidRDefault="00A24667" w:rsidP="00A24667">
      <w:pPr>
        <w:spacing w:after="0" w:line="240" w:lineRule="exact"/>
        <w:ind w:left="1440"/>
        <w:jc w:val="both"/>
        <w:rPr>
          <w:rFonts w:ascii="Arial" w:hAnsi="Arial" w:cs="Arial"/>
          <w:color w:val="000000"/>
        </w:rPr>
      </w:pPr>
    </w:p>
    <w:p w14:paraId="6B669679" w14:textId="77777777" w:rsidR="00A24667" w:rsidRPr="00346C95" w:rsidRDefault="00A24667" w:rsidP="00A24667">
      <w:pPr>
        <w:numPr>
          <w:ilvl w:val="1"/>
          <w:numId w:val="1"/>
        </w:numPr>
        <w:spacing w:after="0" w:line="240" w:lineRule="exact"/>
        <w:jc w:val="both"/>
        <w:rPr>
          <w:rFonts w:ascii="Arial" w:hAnsi="Arial" w:cs="Arial"/>
          <w:color w:val="000000"/>
        </w:rPr>
      </w:pPr>
      <w:r w:rsidRPr="00346C95">
        <w:rPr>
          <w:rFonts w:ascii="Arial" w:hAnsi="Arial" w:cs="Arial"/>
          <w:b/>
          <w:iCs/>
          <w:color w:val="000000"/>
        </w:rPr>
        <w:t>ATP and VSDP:</w:t>
      </w:r>
      <w:r w:rsidRPr="00346C95">
        <w:rPr>
          <w:rFonts w:ascii="Arial" w:hAnsi="Arial" w:cs="Arial"/>
          <w:color w:val="000000"/>
        </w:rPr>
        <w:t xml:space="preserve"> </w:t>
      </w:r>
      <w:r w:rsidRPr="00346C95">
        <w:rPr>
          <w:rFonts w:ascii="Arial" w:hAnsi="Arial" w:cs="Arial"/>
          <w:b/>
          <w:iCs/>
          <w:color w:val="000000"/>
        </w:rPr>
        <w:t>Design the appropriate sample from which to select households that are part of the Control Group</w:t>
      </w:r>
      <w:r w:rsidRPr="00346C95">
        <w:rPr>
          <w:rFonts w:ascii="Arial" w:hAnsi="Arial" w:cs="Arial"/>
          <w:iCs/>
          <w:color w:val="000000"/>
        </w:rPr>
        <w:t>.</w:t>
      </w:r>
      <w:r w:rsidRPr="00346C95">
        <w:rPr>
          <w:rFonts w:ascii="Arial" w:hAnsi="Arial" w:cs="Arial"/>
          <w:color w:val="000000"/>
        </w:rPr>
        <w:t xml:space="preserve"> The target number of individuals to survey is 225 for VSDP and 300 for ATP participants who have completed the training programs.</w:t>
      </w:r>
    </w:p>
    <w:p w14:paraId="59A79764" w14:textId="77777777" w:rsidR="00A24667" w:rsidRPr="00346C95" w:rsidRDefault="00A24667" w:rsidP="00A24667">
      <w:pPr>
        <w:spacing w:after="0" w:line="240" w:lineRule="exact"/>
        <w:jc w:val="both"/>
        <w:rPr>
          <w:rFonts w:ascii="Arial" w:hAnsi="Arial" w:cs="Arial"/>
          <w:color w:val="000000"/>
        </w:rPr>
      </w:pPr>
    </w:p>
    <w:tbl>
      <w:tblPr>
        <w:tblW w:w="7253" w:type="dxa"/>
        <w:tblInd w:w="1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2"/>
        <w:gridCol w:w="1624"/>
        <w:gridCol w:w="1562"/>
        <w:gridCol w:w="1489"/>
        <w:gridCol w:w="1016"/>
      </w:tblGrid>
      <w:tr w:rsidR="00A24667" w:rsidRPr="00346C95" w14:paraId="0402D1E4" w14:textId="77777777" w:rsidTr="000734BB">
        <w:tc>
          <w:tcPr>
            <w:tcW w:w="1562" w:type="dxa"/>
          </w:tcPr>
          <w:p w14:paraId="0D67C5DA" w14:textId="77777777" w:rsidR="00A24667" w:rsidRPr="00346C95" w:rsidRDefault="00A24667" w:rsidP="000734BB">
            <w:pPr>
              <w:spacing w:line="240" w:lineRule="exact"/>
              <w:jc w:val="center"/>
              <w:rPr>
                <w:rFonts w:ascii="Arial" w:hAnsi="Arial" w:cs="Arial"/>
                <w:b/>
                <w:iCs/>
                <w:color w:val="000000"/>
              </w:rPr>
            </w:pPr>
            <w:r w:rsidRPr="00346C95">
              <w:rPr>
                <w:rFonts w:ascii="Arial" w:hAnsi="Arial" w:cs="Arial"/>
                <w:b/>
                <w:iCs/>
                <w:color w:val="000000"/>
              </w:rPr>
              <w:t xml:space="preserve">Treatment Group 1 </w:t>
            </w:r>
          </w:p>
          <w:p w14:paraId="611DEC99" w14:textId="77777777" w:rsidR="00A24667" w:rsidRPr="00346C95" w:rsidRDefault="00A24667" w:rsidP="000734BB">
            <w:pPr>
              <w:spacing w:line="240" w:lineRule="exact"/>
              <w:jc w:val="center"/>
              <w:rPr>
                <w:rFonts w:ascii="Arial" w:hAnsi="Arial" w:cs="Arial"/>
                <w:b/>
                <w:iCs/>
                <w:color w:val="000000"/>
              </w:rPr>
            </w:pPr>
            <w:r w:rsidRPr="00346C95">
              <w:rPr>
                <w:rFonts w:ascii="Arial" w:hAnsi="Arial" w:cs="Arial"/>
                <w:b/>
                <w:iCs/>
                <w:color w:val="000000"/>
              </w:rPr>
              <w:t>(SHG)</w:t>
            </w:r>
          </w:p>
        </w:tc>
        <w:tc>
          <w:tcPr>
            <w:tcW w:w="1624" w:type="dxa"/>
          </w:tcPr>
          <w:p w14:paraId="540A9075" w14:textId="77777777" w:rsidR="00A24667" w:rsidRPr="00346C95" w:rsidRDefault="00A24667" w:rsidP="000734BB">
            <w:pPr>
              <w:spacing w:line="240" w:lineRule="exact"/>
              <w:jc w:val="center"/>
              <w:rPr>
                <w:rFonts w:ascii="Arial" w:hAnsi="Arial" w:cs="Arial"/>
                <w:b/>
                <w:iCs/>
                <w:color w:val="000000"/>
              </w:rPr>
            </w:pPr>
            <w:r w:rsidRPr="00346C95">
              <w:rPr>
                <w:rFonts w:ascii="Arial" w:hAnsi="Arial" w:cs="Arial"/>
                <w:b/>
                <w:iCs/>
                <w:color w:val="000000"/>
              </w:rPr>
              <w:t>Control group for SHG</w:t>
            </w:r>
          </w:p>
        </w:tc>
        <w:tc>
          <w:tcPr>
            <w:tcW w:w="1562" w:type="dxa"/>
            <w:shd w:val="clear" w:color="auto" w:fill="auto"/>
          </w:tcPr>
          <w:p w14:paraId="3454C168" w14:textId="77777777" w:rsidR="00A24667" w:rsidRPr="00346C95" w:rsidRDefault="00A24667" w:rsidP="000734BB">
            <w:pPr>
              <w:spacing w:line="240" w:lineRule="exact"/>
              <w:jc w:val="center"/>
              <w:rPr>
                <w:rFonts w:ascii="Arial" w:hAnsi="Arial" w:cs="Arial"/>
                <w:b/>
                <w:iCs/>
                <w:color w:val="000000"/>
              </w:rPr>
            </w:pPr>
            <w:r w:rsidRPr="00346C95">
              <w:rPr>
                <w:rFonts w:ascii="Arial" w:hAnsi="Arial" w:cs="Arial"/>
                <w:b/>
                <w:iCs/>
                <w:color w:val="000000"/>
              </w:rPr>
              <w:t>Treatment Group 2</w:t>
            </w:r>
          </w:p>
          <w:p w14:paraId="328C71A6" w14:textId="77777777" w:rsidR="00A24667" w:rsidRPr="00346C95" w:rsidRDefault="00A24667" w:rsidP="000734BB">
            <w:pPr>
              <w:spacing w:line="240" w:lineRule="exact"/>
              <w:jc w:val="center"/>
              <w:rPr>
                <w:rFonts w:ascii="Arial" w:hAnsi="Arial" w:cs="Arial"/>
                <w:b/>
                <w:iCs/>
                <w:color w:val="000000"/>
              </w:rPr>
            </w:pPr>
            <w:r w:rsidRPr="00346C95">
              <w:rPr>
                <w:rFonts w:ascii="Arial" w:hAnsi="Arial" w:cs="Arial"/>
                <w:b/>
                <w:iCs/>
                <w:color w:val="000000"/>
              </w:rPr>
              <w:t>(VSDP)</w:t>
            </w:r>
          </w:p>
        </w:tc>
        <w:tc>
          <w:tcPr>
            <w:tcW w:w="1489" w:type="dxa"/>
            <w:shd w:val="clear" w:color="auto" w:fill="auto"/>
          </w:tcPr>
          <w:p w14:paraId="50F0AFFD" w14:textId="77777777" w:rsidR="00A24667" w:rsidRPr="00346C95" w:rsidRDefault="00A24667" w:rsidP="000734BB">
            <w:pPr>
              <w:spacing w:line="240" w:lineRule="exact"/>
              <w:jc w:val="center"/>
              <w:rPr>
                <w:rFonts w:ascii="Arial" w:hAnsi="Arial" w:cs="Arial"/>
                <w:b/>
                <w:iCs/>
                <w:color w:val="000000"/>
              </w:rPr>
            </w:pPr>
            <w:r w:rsidRPr="00346C95">
              <w:rPr>
                <w:rFonts w:ascii="Arial" w:hAnsi="Arial" w:cs="Arial"/>
                <w:b/>
                <w:iCs/>
                <w:color w:val="000000"/>
              </w:rPr>
              <w:t>Treatment Group 3</w:t>
            </w:r>
          </w:p>
          <w:p w14:paraId="3C9C7013" w14:textId="77777777" w:rsidR="00A24667" w:rsidRPr="00346C95" w:rsidRDefault="00A24667" w:rsidP="000734BB">
            <w:pPr>
              <w:spacing w:line="240" w:lineRule="exact"/>
              <w:jc w:val="center"/>
              <w:rPr>
                <w:rFonts w:ascii="Arial" w:hAnsi="Arial" w:cs="Arial"/>
                <w:b/>
                <w:iCs/>
                <w:color w:val="000000"/>
              </w:rPr>
            </w:pPr>
            <w:r w:rsidRPr="00346C95">
              <w:rPr>
                <w:rFonts w:ascii="Arial" w:hAnsi="Arial" w:cs="Arial"/>
                <w:b/>
                <w:iCs/>
                <w:color w:val="000000"/>
              </w:rPr>
              <w:t>(ATP)</w:t>
            </w:r>
          </w:p>
        </w:tc>
        <w:tc>
          <w:tcPr>
            <w:tcW w:w="1016" w:type="dxa"/>
            <w:shd w:val="clear" w:color="auto" w:fill="auto"/>
          </w:tcPr>
          <w:p w14:paraId="588469B5" w14:textId="77777777" w:rsidR="00A24667" w:rsidRPr="00346C95" w:rsidRDefault="00A24667" w:rsidP="000734BB">
            <w:pPr>
              <w:spacing w:line="240" w:lineRule="exact"/>
              <w:jc w:val="center"/>
              <w:rPr>
                <w:rFonts w:ascii="Arial" w:hAnsi="Arial" w:cs="Arial"/>
                <w:b/>
                <w:iCs/>
                <w:color w:val="000000"/>
              </w:rPr>
            </w:pPr>
          </w:p>
          <w:p w14:paraId="6AD838AA" w14:textId="77777777" w:rsidR="00A24667" w:rsidRPr="00346C95" w:rsidRDefault="00A24667" w:rsidP="000734BB">
            <w:pPr>
              <w:spacing w:line="240" w:lineRule="exact"/>
              <w:jc w:val="center"/>
              <w:rPr>
                <w:rFonts w:ascii="Arial" w:hAnsi="Arial" w:cs="Arial"/>
                <w:b/>
                <w:iCs/>
                <w:color w:val="000000"/>
              </w:rPr>
            </w:pPr>
            <w:r w:rsidRPr="00346C95">
              <w:rPr>
                <w:rFonts w:ascii="Arial" w:hAnsi="Arial" w:cs="Arial"/>
                <w:b/>
                <w:iCs/>
                <w:color w:val="000000"/>
              </w:rPr>
              <w:t>Total</w:t>
            </w:r>
          </w:p>
        </w:tc>
      </w:tr>
      <w:tr w:rsidR="00A24667" w:rsidRPr="00346C95" w14:paraId="13CFCF56" w14:textId="77777777" w:rsidTr="000734BB">
        <w:tc>
          <w:tcPr>
            <w:tcW w:w="1562" w:type="dxa"/>
          </w:tcPr>
          <w:p w14:paraId="7B3ABC51" w14:textId="77777777" w:rsidR="00A24667" w:rsidRPr="00346C95" w:rsidRDefault="00A24667" w:rsidP="000734BB">
            <w:pPr>
              <w:spacing w:line="240" w:lineRule="exact"/>
              <w:jc w:val="center"/>
              <w:rPr>
                <w:rFonts w:ascii="Arial" w:hAnsi="Arial" w:cs="Arial"/>
                <w:bCs/>
                <w:iCs/>
                <w:color w:val="000000"/>
              </w:rPr>
            </w:pPr>
            <w:r w:rsidRPr="00346C95">
              <w:rPr>
                <w:rFonts w:ascii="Arial" w:hAnsi="Arial" w:cs="Arial"/>
                <w:bCs/>
                <w:iCs/>
                <w:color w:val="000000"/>
              </w:rPr>
              <w:t>377</w:t>
            </w:r>
          </w:p>
        </w:tc>
        <w:tc>
          <w:tcPr>
            <w:tcW w:w="1624" w:type="dxa"/>
          </w:tcPr>
          <w:p w14:paraId="17575AE0" w14:textId="77777777" w:rsidR="00A24667" w:rsidRPr="00346C95" w:rsidRDefault="00A24667" w:rsidP="000734BB">
            <w:pPr>
              <w:spacing w:line="240" w:lineRule="exact"/>
              <w:jc w:val="center"/>
              <w:rPr>
                <w:rFonts w:ascii="Arial" w:hAnsi="Arial" w:cs="Arial"/>
                <w:bCs/>
                <w:iCs/>
                <w:color w:val="000000"/>
              </w:rPr>
            </w:pPr>
            <w:r w:rsidRPr="00346C95">
              <w:rPr>
                <w:rFonts w:ascii="Arial" w:hAnsi="Arial" w:cs="Arial"/>
                <w:bCs/>
                <w:iCs/>
                <w:color w:val="000000"/>
              </w:rPr>
              <w:t>377</w:t>
            </w:r>
          </w:p>
        </w:tc>
        <w:tc>
          <w:tcPr>
            <w:tcW w:w="1562" w:type="dxa"/>
            <w:shd w:val="clear" w:color="auto" w:fill="auto"/>
          </w:tcPr>
          <w:p w14:paraId="0D460923" w14:textId="77777777" w:rsidR="00A24667" w:rsidRPr="00346C95" w:rsidRDefault="00A24667" w:rsidP="000734BB">
            <w:pPr>
              <w:spacing w:line="240" w:lineRule="exact"/>
              <w:rPr>
                <w:rFonts w:ascii="Arial" w:hAnsi="Arial" w:cs="Arial"/>
                <w:bCs/>
                <w:iCs/>
                <w:color w:val="000000"/>
              </w:rPr>
            </w:pPr>
            <w:r w:rsidRPr="00346C95">
              <w:rPr>
                <w:rFonts w:ascii="Arial" w:hAnsi="Arial" w:cs="Arial"/>
                <w:bCs/>
                <w:iCs/>
                <w:color w:val="000000"/>
              </w:rPr>
              <w:t>225</w:t>
            </w:r>
          </w:p>
        </w:tc>
        <w:tc>
          <w:tcPr>
            <w:tcW w:w="1489" w:type="dxa"/>
            <w:shd w:val="clear" w:color="auto" w:fill="auto"/>
          </w:tcPr>
          <w:p w14:paraId="52D93B50" w14:textId="77777777" w:rsidR="00A24667" w:rsidRPr="00346C95" w:rsidRDefault="00A24667" w:rsidP="000734BB">
            <w:pPr>
              <w:spacing w:line="240" w:lineRule="exact"/>
              <w:rPr>
                <w:rFonts w:ascii="Arial" w:hAnsi="Arial" w:cs="Arial"/>
                <w:bCs/>
                <w:iCs/>
                <w:color w:val="000000"/>
              </w:rPr>
            </w:pPr>
            <w:r w:rsidRPr="00346C95">
              <w:rPr>
                <w:rFonts w:ascii="Arial" w:hAnsi="Arial" w:cs="Arial"/>
                <w:bCs/>
                <w:iCs/>
                <w:color w:val="000000"/>
              </w:rPr>
              <w:t>300</w:t>
            </w:r>
          </w:p>
        </w:tc>
        <w:tc>
          <w:tcPr>
            <w:tcW w:w="1016" w:type="dxa"/>
            <w:shd w:val="clear" w:color="auto" w:fill="auto"/>
          </w:tcPr>
          <w:p w14:paraId="72C53D5B" w14:textId="77777777" w:rsidR="00A24667" w:rsidRPr="00346C95" w:rsidRDefault="00A24667" w:rsidP="000734BB">
            <w:pPr>
              <w:spacing w:line="240" w:lineRule="exact"/>
              <w:rPr>
                <w:rFonts w:ascii="Arial" w:hAnsi="Arial" w:cs="Arial"/>
                <w:bCs/>
                <w:iCs/>
                <w:color w:val="000000"/>
              </w:rPr>
            </w:pPr>
            <w:r w:rsidRPr="00346C95">
              <w:rPr>
                <w:rFonts w:ascii="Arial" w:hAnsi="Arial" w:cs="Arial"/>
                <w:bCs/>
                <w:iCs/>
                <w:color w:val="000000"/>
              </w:rPr>
              <w:t>1297</w:t>
            </w:r>
          </w:p>
        </w:tc>
      </w:tr>
    </w:tbl>
    <w:p w14:paraId="2651D2B6" w14:textId="77777777" w:rsidR="00A24667" w:rsidRPr="00346C95" w:rsidRDefault="00A24667" w:rsidP="00A24667">
      <w:pPr>
        <w:spacing w:after="0" w:line="240" w:lineRule="exact"/>
        <w:ind w:left="1080"/>
        <w:jc w:val="both"/>
        <w:rPr>
          <w:rFonts w:ascii="Arial" w:hAnsi="Arial" w:cs="Arial"/>
          <w:color w:val="000000"/>
        </w:rPr>
      </w:pPr>
    </w:p>
    <w:p w14:paraId="2C0D59FF" w14:textId="77777777" w:rsidR="00A24667" w:rsidRPr="00346C95" w:rsidRDefault="00A24667" w:rsidP="00A24667">
      <w:pPr>
        <w:numPr>
          <w:ilvl w:val="0"/>
          <w:numId w:val="1"/>
        </w:numPr>
        <w:spacing w:after="0" w:line="240" w:lineRule="exact"/>
        <w:jc w:val="both"/>
        <w:rPr>
          <w:rFonts w:ascii="Arial" w:hAnsi="Arial" w:cs="Arial"/>
          <w:b/>
          <w:color w:val="000000"/>
        </w:rPr>
      </w:pPr>
      <w:r w:rsidRPr="00346C95">
        <w:rPr>
          <w:rFonts w:ascii="Arial" w:hAnsi="Arial" w:cs="Arial"/>
          <w:b/>
          <w:color w:val="000000"/>
        </w:rPr>
        <w:t>Surveying</w:t>
      </w:r>
    </w:p>
    <w:p w14:paraId="1742693A" w14:textId="77777777" w:rsidR="00A24667" w:rsidRPr="00346C95" w:rsidRDefault="00A24667" w:rsidP="00A24667">
      <w:pPr>
        <w:spacing w:after="0" w:line="240" w:lineRule="exact"/>
        <w:ind w:left="360"/>
        <w:jc w:val="both"/>
        <w:rPr>
          <w:rFonts w:ascii="Arial" w:hAnsi="Arial" w:cs="Arial"/>
          <w:color w:val="000000"/>
        </w:rPr>
      </w:pPr>
    </w:p>
    <w:p w14:paraId="69CB8486" w14:textId="48698995" w:rsidR="00A24667" w:rsidRPr="00346C95" w:rsidRDefault="00A24667" w:rsidP="00A24667">
      <w:pPr>
        <w:numPr>
          <w:ilvl w:val="1"/>
          <w:numId w:val="1"/>
        </w:numPr>
        <w:spacing w:after="0" w:line="240" w:lineRule="exact"/>
        <w:jc w:val="both"/>
        <w:rPr>
          <w:rFonts w:ascii="Arial" w:hAnsi="Arial" w:cs="Arial"/>
          <w:color w:val="000000"/>
        </w:rPr>
      </w:pPr>
      <w:r w:rsidRPr="00346C95">
        <w:rPr>
          <w:rFonts w:ascii="Arial" w:hAnsi="Arial" w:cs="Arial"/>
          <w:color w:val="000000"/>
        </w:rPr>
        <w:t xml:space="preserve">Administration of the Project Impact Survey – Two surveys based on two separate questionnaires for SHG component and skills development respectively should be administered to both treatment and the selected control group for the SHG component and only treatment group for the skills </w:t>
      </w:r>
      <w:bookmarkStart w:id="0" w:name="_GoBack"/>
      <w:bookmarkEnd w:id="0"/>
      <w:r w:rsidR="00F74966" w:rsidRPr="00346C95">
        <w:rPr>
          <w:rFonts w:ascii="Arial" w:hAnsi="Arial" w:cs="Arial"/>
          <w:color w:val="000000"/>
        </w:rPr>
        <w:t xml:space="preserve">development. </w:t>
      </w:r>
      <w:r w:rsidRPr="00346C95">
        <w:rPr>
          <w:rFonts w:ascii="Arial" w:hAnsi="Arial" w:cs="Arial"/>
          <w:color w:val="000000"/>
        </w:rPr>
        <w:t>The scope of data to be collected will be based on but not limited to the following:</w:t>
      </w:r>
    </w:p>
    <w:p w14:paraId="3FA7FA32" w14:textId="77777777" w:rsidR="00A24667" w:rsidRPr="00346C95" w:rsidRDefault="00A24667" w:rsidP="00A24667">
      <w:pPr>
        <w:numPr>
          <w:ilvl w:val="0"/>
          <w:numId w:val="4"/>
        </w:numPr>
        <w:jc w:val="both"/>
        <w:rPr>
          <w:rFonts w:ascii="Arial" w:hAnsi="Arial" w:cs="Arial"/>
          <w:color w:val="000000"/>
        </w:rPr>
      </w:pPr>
      <w:r w:rsidRPr="00346C95">
        <w:rPr>
          <w:rFonts w:ascii="Arial" w:hAnsi="Arial" w:cs="Arial"/>
          <w:color w:val="000000"/>
        </w:rPr>
        <w:lastRenderedPageBreak/>
        <w:t>Labor Supply Variables:  What are the opportunities that are open to individuals?  How much time have they spent on various activities?  How many days were they inactive in their chosen job profession(s)?</w:t>
      </w:r>
    </w:p>
    <w:p w14:paraId="2A36311F" w14:textId="77777777" w:rsidR="00A24667" w:rsidRPr="00346C95" w:rsidRDefault="00A24667" w:rsidP="00A24667">
      <w:pPr>
        <w:numPr>
          <w:ilvl w:val="0"/>
          <w:numId w:val="4"/>
        </w:numPr>
        <w:jc w:val="both"/>
        <w:rPr>
          <w:rFonts w:ascii="Arial" w:hAnsi="Arial" w:cs="Arial"/>
          <w:color w:val="000000"/>
        </w:rPr>
      </w:pPr>
      <w:r w:rsidRPr="00346C95">
        <w:rPr>
          <w:rFonts w:ascii="Arial" w:hAnsi="Arial" w:cs="Arial"/>
          <w:color w:val="000000"/>
        </w:rPr>
        <w:t>Income/Expenditure Variables:  How much income did they receive from different job activities including SHG membership?  How much did individuals expend or consume on food, housing (including repairs), durable and non durable goods.</w:t>
      </w:r>
    </w:p>
    <w:p w14:paraId="7C074DBF" w14:textId="77777777" w:rsidR="00A24667" w:rsidRPr="00346C95" w:rsidRDefault="00A24667" w:rsidP="00A24667">
      <w:pPr>
        <w:numPr>
          <w:ilvl w:val="0"/>
          <w:numId w:val="4"/>
        </w:numPr>
        <w:jc w:val="both"/>
        <w:rPr>
          <w:rFonts w:ascii="Arial" w:hAnsi="Arial" w:cs="Arial"/>
          <w:color w:val="000000"/>
        </w:rPr>
      </w:pPr>
      <w:r w:rsidRPr="00346C95">
        <w:rPr>
          <w:rFonts w:ascii="Arial" w:hAnsi="Arial" w:cs="Arial"/>
          <w:color w:val="000000"/>
        </w:rPr>
        <w:t>Household Characteristics:  number of family members, ages, number of working members, number in school, gender, civil status.</w:t>
      </w:r>
    </w:p>
    <w:p w14:paraId="3F3E9046" w14:textId="77777777" w:rsidR="00A24667" w:rsidRPr="00346C95" w:rsidRDefault="00A24667" w:rsidP="00A24667">
      <w:pPr>
        <w:numPr>
          <w:ilvl w:val="0"/>
          <w:numId w:val="4"/>
        </w:numPr>
        <w:jc w:val="both"/>
        <w:rPr>
          <w:rFonts w:ascii="Arial" w:hAnsi="Arial" w:cs="Arial"/>
          <w:color w:val="000000"/>
        </w:rPr>
      </w:pPr>
      <w:r w:rsidRPr="00346C95">
        <w:rPr>
          <w:rFonts w:ascii="Arial" w:hAnsi="Arial" w:cs="Arial"/>
          <w:color w:val="000000"/>
        </w:rPr>
        <w:t>General Village Characteristics:  Availability of paved roads, motorized transport, percent in poverty, total population, main employment activities, access to credit, access to schools, access to health services.  Number of individuals trained in the key skills of interest?</w:t>
      </w:r>
    </w:p>
    <w:p w14:paraId="5E3198E2" w14:textId="77777777" w:rsidR="00A24667" w:rsidRPr="00346C95" w:rsidRDefault="00A24667" w:rsidP="00A24667">
      <w:pPr>
        <w:numPr>
          <w:ilvl w:val="0"/>
          <w:numId w:val="4"/>
        </w:numPr>
        <w:jc w:val="both"/>
        <w:rPr>
          <w:rFonts w:ascii="Arial" w:hAnsi="Arial" w:cs="Arial"/>
          <w:color w:val="000000"/>
        </w:rPr>
      </w:pPr>
      <w:r w:rsidRPr="00346C95">
        <w:rPr>
          <w:rFonts w:ascii="Arial" w:hAnsi="Arial" w:cs="Arial"/>
          <w:color w:val="000000"/>
        </w:rPr>
        <w:t>Constraints to Employment ( For skills part):  What may be the things that are preventing individuals from obtaining employment in their chosen job of profession, constraints to further growth, how many days were they hoping to work in the skills that they were trained in?  What was their average asking price or expected pay for working in the given skills?</w:t>
      </w:r>
    </w:p>
    <w:p w14:paraId="2FC2EC92" w14:textId="77777777" w:rsidR="00A24667" w:rsidRPr="00346C95" w:rsidRDefault="00A24667" w:rsidP="00A24667">
      <w:pPr>
        <w:spacing w:after="0" w:line="240" w:lineRule="exact"/>
        <w:jc w:val="both"/>
        <w:rPr>
          <w:rFonts w:ascii="Arial" w:hAnsi="Arial" w:cs="Arial"/>
          <w:color w:val="000000"/>
        </w:rPr>
      </w:pPr>
    </w:p>
    <w:p w14:paraId="63FA680A" w14:textId="77777777" w:rsidR="00A24667" w:rsidRPr="00346C95" w:rsidRDefault="00A24667" w:rsidP="00A24667">
      <w:pPr>
        <w:numPr>
          <w:ilvl w:val="1"/>
          <w:numId w:val="1"/>
        </w:numPr>
        <w:spacing w:after="0" w:line="240" w:lineRule="exact"/>
        <w:jc w:val="both"/>
        <w:rPr>
          <w:rFonts w:ascii="Arial" w:hAnsi="Arial" w:cs="Arial"/>
          <w:color w:val="000000"/>
        </w:rPr>
      </w:pPr>
      <w:r w:rsidRPr="00346C95">
        <w:rPr>
          <w:rFonts w:ascii="Arial" w:hAnsi="Arial" w:cs="Arial"/>
          <w:color w:val="000000"/>
        </w:rPr>
        <w:t>To ensure Quality Survey– This can be accomplished by hiring an independent Auditor who will ask a subset of the questions for the village and household surveys to the same people previously interviewed by the surveyors.</w:t>
      </w:r>
    </w:p>
    <w:p w14:paraId="18764105" w14:textId="77777777" w:rsidR="00A24667" w:rsidRPr="00346C95" w:rsidRDefault="00A24667" w:rsidP="00A24667">
      <w:pPr>
        <w:spacing w:after="0" w:line="240" w:lineRule="exact"/>
        <w:jc w:val="both"/>
        <w:rPr>
          <w:rFonts w:ascii="Arial" w:hAnsi="Arial" w:cs="Arial"/>
          <w:b/>
          <w:color w:val="000000"/>
        </w:rPr>
      </w:pPr>
    </w:p>
    <w:p w14:paraId="0BA91A30" w14:textId="77777777" w:rsidR="00A24667" w:rsidRPr="00346C95" w:rsidRDefault="00A24667" w:rsidP="00A24667">
      <w:pPr>
        <w:numPr>
          <w:ilvl w:val="0"/>
          <w:numId w:val="1"/>
        </w:numPr>
        <w:spacing w:after="0" w:line="240" w:lineRule="exact"/>
        <w:jc w:val="both"/>
        <w:rPr>
          <w:rFonts w:ascii="Arial" w:hAnsi="Arial" w:cs="Arial"/>
          <w:b/>
          <w:color w:val="000000"/>
        </w:rPr>
      </w:pPr>
      <w:r w:rsidRPr="00346C95">
        <w:rPr>
          <w:rFonts w:ascii="Arial" w:hAnsi="Arial" w:cs="Arial"/>
          <w:b/>
          <w:color w:val="000000"/>
        </w:rPr>
        <w:t>Staffing</w:t>
      </w:r>
    </w:p>
    <w:p w14:paraId="715E4DD8" w14:textId="77777777" w:rsidR="00A24667" w:rsidRPr="00346C95" w:rsidRDefault="00A24667" w:rsidP="00A24667">
      <w:pPr>
        <w:spacing w:after="0" w:line="240" w:lineRule="exact"/>
        <w:ind w:left="360"/>
        <w:jc w:val="both"/>
        <w:rPr>
          <w:rFonts w:ascii="Arial" w:hAnsi="Arial" w:cs="Arial"/>
          <w:color w:val="000000"/>
        </w:rPr>
      </w:pPr>
    </w:p>
    <w:p w14:paraId="49DD5054" w14:textId="77777777" w:rsidR="00A24667" w:rsidRPr="00346C95" w:rsidRDefault="00A24667" w:rsidP="00A24667">
      <w:pPr>
        <w:numPr>
          <w:ilvl w:val="1"/>
          <w:numId w:val="1"/>
        </w:numPr>
        <w:spacing w:before="120" w:after="120" w:line="240" w:lineRule="exact"/>
        <w:ind w:left="1434" w:hanging="357"/>
        <w:jc w:val="both"/>
        <w:rPr>
          <w:rFonts w:ascii="Arial" w:hAnsi="Arial" w:cs="Arial"/>
          <w:color w:val="000000"/>
        </w:rPr>
      </w:pPr>
      <w:r w:rsidRPr="00346C95">
        <w:rPr>
          <w:rFonts w:ascii="Arial" w:hAnsi="Arial" w:cs="Arial"/>
          <w:color w:val="000000"/>
        </w:rPr>
        <w:t xml:space="preserve">Hiring of Surveyors – As the tasks need to be completed within two months, the expected number of surveyors that are to be hired is </w:t>
      </w:r>
      <w:r w:rsidRPr="00346C95">
        <w:rPr>
          <w:rFonts w:ascii="Arial" w:hAnsi="Arial" w:cs="Arial"/>
          <w:b/>
          <w:bCs/>
          <w:color w:val="000000"/>
        </w:rPr>
        <w:t>25</w:t>
      </w:r>
      <w:r w:rsidRPr="00346C95">
        <w:rPr>
          <w:rFonts w:ascii="Arial" w:hAnsi="Arial" w:cs="Arial"/>
          <w:color w:val="000000"/>
        </w:rPr>
        <w:t xml:space="preserve">. The PMU and the Consulting Firm will recruit the enumerators jointly. </w:t>
      </w:r>
    </w:p>
    <w:p w14:paraId="4A5F7FE8" w14:textId="77777777" w:rsidR="00A24667" w:rsidRPr="00346C95" w:rsidRDefault="00A24667" w:rsidP="00A24667">
      <w:pPr>
        <w:numPr>
          <w:ilvl w:val="1"/>
          <w:numId w:val="1"/>
        </w:numPr>
        <w:spacing w:before="120" w:after="120" w:line="240" w:lineRule="exact"/>
        <w:ind w:left="1434" w:hanging="357"/>
        <w:jc w:val="both"/>
        <w:rPr>
          <w:rFonts w:ascii="Arial" w:hAnsi="Arial" w:cs="Arial"/>
          <w:color w:val="000000"/>
        </w:rPr>
      </w:pPr>
      <w:r w:rsidRPr="00346C95">
        <w:rPr>
          <w:rFonts w:ascii="Arial" w:hAnsi="Arial" w:cs="Arial"/>
          <w:color w:val="000000"/>
        </w:rPr>
        <w:t xml:space="preserve">Appointment of Supervisors - Ideally, at least one person in each district will be designated to monitor the data collection as well as for addressing the concerns immediately in the field.  It is possible that these people are simply one of the 15 surveyors who will take the lead role in the surveys. </w:t>
      </w:r>
    </w:p>
    <w:p w14:paraId="4CBAB582" w14:textId="77777777" w:rsidR="00A24667" w:rsidRPr="00346C95" w:rsidRDefault="00A24667" w:rsidP="00A24667">
      <w:pPr>
        <w:numPr>
          <w:ilvl w:val="1"/>
          <w:numId w:val="1"/>
        </w:numPr>
        <w:spacing w:before="120" w:after="120" w:line="240" w:lineRule="exact"/>
        <w:ind w:left="1434" w:hanging="357"/>
        <w:jc w:val="both"/>
        <w:rPr>
          <w:rFonts w:ascii="Arial" w:hAnsi="Arial" w:cs="Arial"/>
          <w:color w:val="000000"/>
        </w:rPr>
      </w:pPr>
      <w:r w:rsidRPr="00346C95">
        <w:rPr>
          <w:rFonts w:ascii="Arial" w:hAnsi="Arial" w:cs="Arial"/>
          <w:color w:val="000000"/>
        </w:rPr>
        <w:t xml:space="preserve">Hiring of Auditor – To ensure quality compliance </w:t>
      </w:r>
      <w:r w:rsidRPr="00346C95">
        <w:rPr>
          <w:rFonts w:ascii="Arial" w:hAnsi="Arial" w:cs="Arial"/>
          <w:b/>
          <w:bCs/>
          <w:color w:val="000000"/>
        </w:rPr>
        <w:t>3</w:t>
      </w:r>
      <w:r w:rsidRPr="00346C95">
        <w:rPr>
          <w:rFonts w:ascii="Arial" w:hAnsi="Arial" w:cs="Arial"/>
          <w:color w:val="000000"/>
        </w:rPr>
        <w:t xml:space="preserve"> persons independent of the fifteen surveyors will be obtained that does a random 10% (a total of 135) check on a shorter version of the survey. </w:t>
      </w:r>
    </w:p>
    <w:p w14:paraId="31D207FB" w14:textId="77777777" w:rsidR="00A24667" w:rsidRPr="00346C95" w:rsidRDefault="00A24667" w:rsidP="00A24667">
      <w:pPr>
        <w:spacing w:after="0" w:line="240" w:lineRule="exact"/>
        <w:ind w:left="1080"/>
        <w:jc w:val="both"/>
        <w:rPr>
          <w:rFonts w:ascii="Arial" w:hAnsi="Arial" w:cs="Arial"/>
          <w:color w:val="000000"/>
        </w:rPr>
      </w:pPr>
    </w:p>
    <w:p w14:paraId="6188F429" w14:textId="77777777" w:rsidR="00A24667" w:rsidRPr="00346C95" w:rsidRDefault="00A24667" w:rsidP="00A24667">
      <w:pPr>
        <w:numPr>
          <w:ilvl w:val="2"/>
          <w:numId w:val="1"/>
        </w:numPr>
        <w:tabs>
          <w:tab w:val="clear" w:pos="2124"/>
          <w:tab w:val="num" w:pos="2340"/>
        </w:tabs>
        <w:spacing w:after="0" w:line="240" w:lineRule="exact"/>
        <w:jc w:val="both"/>
        <w:rPr>
          <w:rFonts w:ascii="Arial" w:hAnsi="Arial" w:cs="Arial"/>
          <w:color w:val="000000"/>
        </w:rPr>
      </w:pPr>
      <w:r w:rsidRPr="00346C95">
        <w:rPr>
          <w:rFonts w:ascii="Arial" w:hAnsi="Arial" w:cs="Arial"/>
          <w:color w:val="000000"/>
        </w:rPr>
        <w:t>PMU will deploy 3 Auditors from its in-house personnel of IAs.</w:t>
      </w:r>
    </w:p>
    <w:p w14:paraId="5E0BA9C6" w14:textId="77777777" w:rsidR="00A24667" w:rsidRPr="00346C95" w:rsidRDefault="00A24667" w:rsidP="00A24667">
      <w:pPr>
        <w:numPr>
          <w:ilvl w:val="2"/>
          <w:numId w:val="1"/>
        </w:numPr>
        <w:tabs>
          <w:tab w:val="clear" w:pos="2124"/>
          <w:tab w:val="num" w:pos="2340"/>
        </w:tabs>
        <w:spacing w:after="0" w:line="240" w:lineRule="exact"/>
        <w:ind w:left="2340" w:hanging="360"/>
        <w:jc w:val="both"/>
        <w:rPr>
          <w:rFonts w:ascii="Arial" w:hAnsi="Arial" w:cs="Arial"/>
          <w:color w:val="000000"/>
        </w:rPr>
      </w:pPr>
      <w:r w:rsidRPr="00346C95">
        <w:rPr>
          <w:rFonts w:ascii="Arial" w:hAnsi="Arial" w:cs="Arial"/>
          <w:color w:val="000000"/>
        </w:rPr>
        <w:t xml:space="preserve">Decide on the allocation of Auditors and their necessary inputs for each district. </w:t>
      </w:r>
    </w:p>
    <w:p w14:paraId="007D0BD1" w14:textId="77777777" w:rsidR="00A24667" w:rsidRPr="00346C95" w:rsidRDefault="00A24667" w:rsidP="00A24667">
      <w:pPr>
        <w:numPr>
          <w:ilvl w:val="2"/>
          <w:numId w:val="1"/>
        </w:numPr>
        <w:tabs>
          <w:tab w:val="clear" w:pos="2124"/>
          <w:tab w:val="num" w:pos="2340"/>
        </w:tabs>
        <w:spacing w:after="0" w:line="240" w:lineRule="exact"/>
        <w:ind w:left="2340" w:hanging="360"/>
        <w:jc w:val="both"/>
        <w:rPr>
          <w:rFonts w:ascii="Arial" w:hAnsi="Arial" w:cs="Arial"/>
          <w:color w:val="000000"/>
        </w:rPr>
      </w:pPr>
      <w:r w:rsidRPr="00346C95">
        <w:rPr>
          <w:rFonts w:ascii="Arial" w:hAnsi="Arial" w:cs="Arial"/>
          <w:color w:val="000000"/>
        </w:rPr>
        <w:t xml:space="preserve">Develop a shorter version of the surveys. </w:t>
      </w:r>
    </w:p>
    <w:p w14:paraId="583B0034" w14:textId="77777777" w:rsidR="00A24667" w:rsidRPr="00346C95" w:rsidRDefault="00A24667" w:rsidP="00A24667">
      <w:pPr>
        <w:numPr>
          <w:ilvl w:val="2"/>
          <w:numId w:val="1"/>
        </w:numPr>
        <w:tabs>
          <w:tab w:val="clear" w:pos="2124"/>
          <w:tab w:val="num" w:pos="2340"/>
        </w:tabs>
        <w:spacing w:after="0" w:line="240" w:lineRule="exact"/>
        <w:ind w:left="2340" w:hanging="360"/>
        <w:jc w:val="both"/>
        <w:rPr>
          <w:rFonts w:ascii="Arial" w:hAnsi="Arial" w:cs="Arial"/>
          <w:color w:val="000000"/>
        </w:rPr>
      </w:pPr>
      <w:r w:rsidRPr="00346C95">
        <w:rPr>
          <w:rFonts w:ascii="Arial" w:hAnsi="Arial" w:cs="Arial"/>
          <w:color w:val="000000"/>
        </w:rPr>
        <w:t xml:space="preserve">Decide how many surveys/district for random checks. </w:t>
      </w:r>
    </w:p>
    <w:p w14:paraId="6A83BC55" w14:textId="77777777" w:rsidR="00A24667" w:rsidRPr="00346C95" w:rsidRDefault="00A24667" w:rsidP="00A24667">
      <w:pPr>
        <w:spacing w:after="0" w:line="240" w:lineRule="exact"/>
        <w:jc w:val="both"/>
        <w:rPr>
          <w:rFonts w:ascii="Arial" w:hAnsi="Arial" w:cs="Arial"/>
          <w:color w:val="000000"/>
        </w:rPr>
      </w:pPr>
    </w:p>
    <w:p w14:paraId="5ADCEE55" w14:textId="77777777" w:rsidR="00A24667" w:rsidRPr="00346C95" w:rsidRDefault="00A24667" w:rsidP="00A24667">
      <w:pPr>
        <w:numPr>
          <w:ilvl w:val="0"/>
          <w:numId w:val="1"/>
        </w:numPr>
        <w:spacing w:after="0" w:line="240" w:lineRule="exact"/>
        <w:jc w:val="both"/>
        <w:rPr>
          <w:rFonts w:ascii="Arial" w:hAnsi="Arial" w:cs="Arial"/>
          <w:b/>
          <w:color w:val="000000"/>
        </w:rPr>
      </w:pPr>
      <w:r w:rsidRPr="00346C95">
        <w:rPr>
          <w:rFonts w:ascii="Arial" w:hAnsi="Arial" w:cs="Arial"/>
          <w:b/>
          <w:color w:val="000000"/>
        </w:rPr>
        <w:t>Data Management</w:t>
      </w:r>
    </w:p>
    <w:p w14:paraId="68B00A78" w14:textId="77777777" w:rsidR="00A24667" w:rsidRPr="00346C95" w:rsidRDefault="00A24667" w:rsidP="00A24667">
      <w:pPr>
        <w:spacing w:after="0" w:line="240" w:lineRule="exact"/>
        <w:ind w:left="360"/>
        <w:jc w:val="both"/>
        <w:rPr>
          <w:rFonts w:ascii="Arial" w:hAnsi="Arial" w:cs="Arial"/>
          <w:color w:val="000000"/>
        </w:rPr>
      </w:pPr>
    </w:p>
    <w:p w14:paraId="448E8465" w14:textId="77777777" w:rsidR="00A24667" w:rsidRPr="00346C95" w:rsidRDefault="00A24667" w:rsidP="00A24667">
      <w:pPr>
        <w:numPr>
          <w:ilvl w:val="1"/>
          <w:numId w:val="1"/>
        </w:numPr>
        <w:spacing w:after="0" w:line="240" w:lineRule="exact"/>
        <w:jc w:val="both"/>
        <w:rPr>
          <w:rFonts w:ascii="Arial" w:hAnsi="Arial" w:cs="Arial"/>
          <w:color w:val="000000"/>
        </w:rPr>
      </w:pPr>
      <w:r w:rsidRPr="00346C95">
        <w:rPr>
          <w:rFonts w:ascii="Arial" w:hAnsi="Arial" w:cs="Arial"/>
          <w:color w:val="000000"/>
        </w:rPr>
        <w:t>Data entry program – There should be a means to enter the data efficiently and effectively.  This could either be through an excel program or potentially CS Pro.  This program should be quality checks and make sure that the input of encoders is within the bounds of reasonable parameters.</w:t>
      </w:r>
    </w:p>
    <w:p w14:paraId="2A79F8A0" w14:textId="77777777" w:rsidR="00A24667" w:rsidRPr="00346C95" w:rsidRDefault="00A24667" w:rsidP="00A24667">
      <w:pPr>
        <w:spacing w:after="0" w:line="240" w:lineRule="exact"/>
        <w:ind w:left="1080"/>
        <w:jc w:val="both"/>
        <w:rPr>
          <w:rFonts w:ascii="Arial" w:hAnsi="Arial" w:cs="Arial"/>
          <w:color w:val="000000"/>
        </w:rPr>
      </w:pPr>
    </w:p>
    <w:p w14:paraId="2443D51D" w14:textId="77777777" w:rsidR="00A24667" w:rsidRPr="00346C95" w:rsidRDefault="00A24667" w:rsidP="00A24667">
      <w:pPr>
        <w:numPr>
          <w:ilvl w:val="0"/>
          <w:numId w:val="2"/>
        </w:numPr>
        <w:tabs>
          <w:tab w:val="clear" w:pos="1735"/>
          <w:tab w:val="num" w:pos="2340"/>
        </w:tabs>
        <w:spacing w:after="0" w:line="240" w:lineRule="exact"/>
        <w:ind w:left="2340" w:hanging="360"/>
        <w:jc w:val="both"/>
        <w:rPr>
          <w:rFonts w:ascii="Arial" w:hAnsi="Arial" w:cs="Arial"/>
          <w:color w:val="000000"/>
        </w:rPr>
      </w:pPr>
      <w:r w:rsidRPr="00346C95">
        <w:rPr>
          <w:rFonts w:ascii="Arial" w:hAnsi="Arial" w:cs="Arial"/>
          <w:color w:val="000000"/>
        </w:rPr>
        <w:t xml:space="preserve">Finalize the database design and protocol. </w:t>
      </w:r>
    </w:p>
    <w:p w14:paraId="59537BD8" w14:textId="77777777" w:rsidR="00A24667" w:rsidRPr="00346C95" w:rsidRDefault="00A24667" w:rsidP="00A24667">
      <w:pPr>
        <w:numPr>
          <w:ilvl w:val="0"/>
          <w:numId w:val="2"/>
        </w:numPr>
        <w:tabs>
          <w:tab w:val="clear" w:pos="1735"/>
          <w:tab w:val="num" w:pos="2340"/>
        </w:tabs>
        <w:spacing w:after="0" w:line="240" w:lineRule="exact"/>
        <w:ind w:left="2340" w:hanging="360"/>
        <w:jc w:val="both"/>
        <w:rPr>
          <w:rFonts w:ascii="Arial" w:hAnsi="Arial" w:cs="Arial"/>
          <w:color w:val="000000"/>
        </w:rPr>
      </w:pPr>
      <w:r w:rsidRPr="00346C95">
        <w:rPr>
          <w:rFonts w:ascii="Arial" w:hAnsi="Arial" w:cs="Arial"/>
          <w:color w:val="000000"/>
        </w:rPr>
        <w:t xml:space="preserve">Train the encoders. </w:t>
      </w:r>
    </w:p>
    <w:p w14:paraId="72C30427" w14:textId="77777777" w:rsidR="00A24667" w:rsidRPr="00346C95" w:rsidRDefault="00A24667" w:rsidP="00A24667">
      <w:pPr>
        <w:spacing w:after="0" w:line="240" w:lineRule="exact"/>
        <w:ind w:left="1080"/>
        <w:jc w:val="both"/>
        <w:rPr>
          <w:rFonts w:ascii="Arial" w:hAnsi="Arial" w:cs="Arial"/>
          <w:color w:val="000000"/>
        </w:rPr>
      </w:pPr>
    </w:p>
    <w:p w14:paraId="3E834195" w14:textId="77777777" w:rsidR="00A24667" w:rsidRPr="00346C95" w:rsidRDefault="00A24667" w:rsidP="00A24667">
      <w:pPr>
        <w:numPr>
          <w:ilvl w:val="1"/>
          <w:numId w:val="1"/>
        </w:numPr>
        <w:spacing w:after="0" w:line="240" w:lineRule="exact"/>
        <w:jc w:val="both"/>
        <w:rPr>
          <w:rFonts w:ascii="Arial" w:hAnsi="Arial" w:cs="Arial"/>
          <w:color w:val="000000"/>
        </w:rPr>
      </w:pPr>
      <w:r w:rsidRPr="00346C95">
        <w:rPr>
          <w:rFonts w:ascii="Arial" w:hAnsi="Arial" w:cs="Arial"/>
          <w:color w:val="000000"/>
        </w:rPr>
        <w:t>Double Encoding – A subset of the survey questionnaires should be encoded twice by separate individuals to ensure that the data input is accurate and correct.</w:t>
      </w:r>
    </w:p>
    <w:p w14:paraId="4C77BCE2" w14:textId="77777777" w:rsidR="00A24667" w:rsidRPr="00346C95" w:rsidRDefault="00A24667" w:rsidP="00A24667">
      <w:pPr>
        <w:spacing w:after="0" w:line="240" w:lineRule="exact"/>
        <w:ind w:left="1080"/>
        <w:jc w:val="both"/>
        <w:rPr>
          <w:rFonts w:ascii="Arial" w:hAnsi="Arial" w:cs="Arial"/>
          <w:color w:val="000000"/>
        </w:rPr>
      </w:pPr>
    </w:p>
    <w:p w14:paraId="2895F615" w14:textId="77777777" w:rsidR="00A24667" w:rsidRPr="00346C95" w:rsidRDefault="00A24667" w:rsidP="00A24667">
      <w:pPr>
        <w:numPr>
          <w:ilvl w:val="0"/>
          <w:numId w:val="1"/>
        </w:numPr>
        <w:spacing w:after="0" w:line="240" w:lineRule="exact"/>
        <w:jc w:val="both"/>
        <w:rPr>
          <w:rFonts w:ascii="Arial" w:hAnsi="Arial" w:cs="Arial"/>
          <w:b/>
          <w:color w:val="000000"/>
        </w:rPr>
      </w:pPr>
      <w:r w:rsidRPr="00346C95">
        <w:rPr>
          <w:rFonts w:ascii="Arial" w:hAnsi="Arial" w:cs="Arial"/>
          <w:b/>
          <w:color w:val="000000"/>
        </w:rPr>
        <w:t>Performance Requirements</w:t>
      </w:r>
    </w:p>
    <w:p w14:paraId="1C0E3E27" w14:textId="77777777" w:rsidR="00A24667" w:rsidRPr="00346C95" w:rsidRDefault="00A24667" w:rsidP="00A24667">
      <w:pPr>
        <w:spacing w:after="0" w:line="240" w:lineRule="exact"/>
        <w:ind w:left="360"/>
        <w:jc w:val="both"/>
        <w:rPr>
          <w:rFonts w:ascii="Arial" w:hAnsi="Arial" w:cs="Arial"/>
          <w:color w:val="000000"/>
        </w:rPr>
      </w:pPr>
    </w:p>
    <w:p w14:paraId="69730C52" w14:textId="77777777" w:rsidR="00A24667" w:rsidRPr="00346C95" w:rsidRDefault="00A24667" w:rsidP="00A24667">
      <w:pPr>
        <w:numPr>
          <w:ilvl w:val="1"/>
          <w:numId w:val="1"/>
        </w:numPr>
        <w:spacing w:after="0" w:line="240" w:lineRule="exact"/>
        <w:jc w:val="both"/>
        <w:rPr>
          <w:rFonts w:ascii="Arial" w:hAnsi="Arial" w:cs="Arial"/>
          <w:color w:val="000000"/>
        </w:rPr>
      </w:pPr>
      <w:r w:rsidRPr="00346C95">
        <w:rPr>
          <w:rFonts w:ascii="Arial" w:hAnsi="Arial" w:cs="Arial"/>
          <w:color w:val="000000"/>
        </w:rPr>
        <w:t>Completion Rates - The goal is to have a 100% completion rate of the surveys and to have all questions filled out in detail.  Incomplete surveys are those where at least one of the key questions is missing and thus makes the data unusable for detailed household level analysis.  However, the minimum completion rate expected of all surveys in the sample is 85%.  Proper documentation should be supplemented in instances of not being able to administer or complete the survey. If possible, surveyors should attempt to at least go back to the targeted household three times in cases where the household head is not available before deciding to drop him/her from the survey sample.</w:t>
      </w:r>
    </w:p>
    <w:p w14:paraId="7DACA1CB" w14:textId="77777777" w:rsidR="00A24667" w:rsidRPr="00346C95" w:rsidRDefault="00A24667" w:rsidP="00A24667">
      <w:pPr>
        <w:spacing w:after="0" w:line="240" w:lineRule="exact"/>
        <w:ind w:left="1080"/>
        <w:jc w:val="both"/>
        <w:rPr>
          <w:rFonts w:ascii="Arial" w:hAnsi="Arial" w:cs="Arial"/>
          <w:color w:val="000000"/>
        </w:rPr>
      </w:pPr>
    </w:p>
    <w:p w14:paraId="62C7DA30" w14:textId="77777777" w:rsidR="00A24667" w:rsidRPr="00346C95" w:rsidRDefault="00A24667" w:rsidP="00A24667">
      <w:pPr>
        <w:numPr>
          <w:ilvl w:val="0"/>
          <w:numId w:val="3"/>
        </w:numPr>
        <w:tabs>
          <w:tab w:val="clear" w:pos="1735"/>
          <w:tab w:val="num" w:pos="2340"/>
        </w:tabs>
        <w:spacing w:after="0" w:line="240" w:lineRule="exact"/>
        <w:ind w:left="2340" w:hanging="360"/>
        <w:jc w:val="both"/>
        <w:rPr>
          <w:rFonts w:ascii="Arial" w:hAnsi="Arial" w:cs="Arial"/>
          <w:color w:val="000000"/>
        </w:rPr>
      </w:pPr>
      <w:r w:rsidRPr="00346C95">
        <w:rPr>
          <w:rFonts w:ascii="Arial" w:hAnsi="Arial" w:cs="Arial"/>
          <w:color w:val="000000"/>
        </w:rPr>
        <w:t xml:space="preserve">The Consulting Firm will develop an incentive mechanism for the enumerators and encoders in association with the PMU. </w:t>
      </w:r>
    </w:p>
    <w:p w14:paraId="280A3D94" w14:textId="77777777" w:rsidR="00A24667" w:rsidRPr="00346C95" w:rsidRDefault="00A24667" w:rsidP="00A24667">
      <w:pPr>
        <w:spacing w:after="0" w:line="240" w:lineRule="exact"/>
        <w:jc w:val="both"/>
        <w:rPr>
          <w:rFonts w:ascii="Arial" w:hAnsi="Arial" w:cs="Arial"/>
          <w:color w:val="000000"/>
        </w:rPr>
      </w:pPr>
    </w:p>
    <w:p w14:paraId="2BE91DF3" w14:textId="77777777" w:rsidR="00A24667" w:rsidRPr="00346C95" w:rsidRDefault="00A24667" w:rsidP="00A24667">
      <w:pPr>
        <w:numPr>
          <w:ilvl w:val="0"/>
          <w:numId w:val="1"/>
        </w:numPr>
        <w:spacing w:after="0" w:line="240" w:lineRule="exact"/>
        <w:jc w:val="both"/>
        <w:rPr>
          <w:rFonts w:ascii="Arial" w:hAnsi="Arial" w:cs="Arial"/>
          <w:b/>
          <w:color w:val="000000"/>
        </w:rPr>
      </w:pPr>
      <w:r w:rsidRPr="00346C95">
        <w:rPr>
          <w:rFonts w:ascii="Arial" w:hAnsi="Arial" w:cs="Arial"/>
          <w:color w:val="000000"/>
        </w:rPr>
        <w:t xml:space="preserve"> </w:t>
      </w:r>
      <w:r w:rsidRPr="00346C95">
        <w:rPr>
          <w:rFonts w:ascii="Arial" w:hAnsi="Arial" w:cs="Arial"/>
          <w:b/>
          <w:color w:val="000000"/>
        </w:rPr>
        <w:t>Reports</w:t>
      </w:r>
    </w:p>
    <w:p w14:paraId="292EBC2F" w14:textId="77777777" w:rsidR="00A24667" w:rsidRPr="00346C95" w:rsidRDefault="00A24667" w:rsidP="00A24667">
      <w:pPr>
        <w:spacing w:after="0" w:line="240" w:lineRule="exact"/>
        <w:ind w:left="360"/>
        <w:jc w:val="both"/>
        <w:rPr>
          <w:rFonts w:ascii="Arial" w:hAnsi="Arial" w:cs="Arial"/>
          <w:color w:val="000000"/>
        </w:rPr>
      </w:pPr>
    </w:p>
    <w:p w14:paraId="00F626CD" w14:textId="77777777" w:rsidR="00A24667" w:rsidRPr="00346C95" w:rsidRDefault="00A24667" w:rsidP="00A24667">
      <w:pPr>
        <w:numPr>
          <w:ilvl w:val="1"/>
          <w:numId w:val="1"/>
        </w:numPr>
        <w:spacing w:after="0" w:line="240" w:lineRule="exact"/>
        <w:jc w:val="both"/>
        <w:rPr>
          <w:rFonts w:ascii="Arial" w:hAnsi="Arial" w:cs="Arial"/>
          <w:color w:val="000000"/>
        </w:rPr>
      </w:pPr>
      <w:r w:rsidRPr="00346C95">
        <w:rPr>
          <w:rFonts w:ascii="Arial" w:hAnsi="Arial" w:cs="Arial"/>
          <w:color w:val="000000"/>
        </w:rPr>
        <w:t xml:space="preserve">Final Report of a detailed analysis of the survey findings and overall impact of the project towards advancing economic opportunities of women and girls with specific focus on income, expenditure and other benefits derived form the project intervention. </w:t>
      </w:r>
    </w:p>
    <w:p w14:paraId="7E3B4423" w14:textId="77777777" w:rsidR="00A24667" w:rsidRPr="00346C95" w:rsidRDefault="00A24667" w:rsidP="00A24667">
      <w:pPr>
        <w:numPr>
          <w:ilvl w:val="1"/>
          <w:numId w:val="1"/>
        </w:numPr>
        <w:spacing w:after="0" w:line="240" w:lineRule="exact"/>
        <w:jc w:val="both"/>
        <w:rPr>
          <w:rFonts w:ascii="Arial" w:hAnsi="Arial" w:cs="Arial"/>
          <w:color w:val="000000"/>
        </w:rPr>
      </w:pPr>
      <w:r w:rsidRPr="00346C95">
        <w:rPr>
          <w:rFonts w:ascii="Arial" w:hAnsi="Arial" w:cs="Arial"/>
          <w:color w:val="000000"/>
        </w:rPr>
        <w:t xml:space="preserve">An analysis of the project investment status especially with focus on civil works and supplies. </w:t>
      </w:r>
    </w:p>
    <w:p w14:paraId="42B1DF5D" w14:textId="77777777" w:rsidR="00A24667" w:rsidRPr="00346C95" w:rsidRDefault="00A24667" w:rsidP="00A24667">
      <w:pPr>
        <w:numPr>
          <w:ilvl w:val="1"/>
          <w:numId w:val="1"/>
        </w:numPr>
        <w:spacing w:after="0" w:line="240" w:lineRule="exact"/>
        <w:jc w:val="both"/>
        <w:rPr>
          <w:rFonts w:ascii="Arial" w:hAnsi="Arial" w:cs="Arial"/>
          <w:color w:val="000000"/>
        </w:rPr>
      </w:pPr>
      <w:r w:rsidRPr="00346C95">
        <w:rPr>
          <w:rFonts w:ascii="Arial" w:hAnsi="Arial" w:cs="Arial"/>
          <w:color w:val="000000"/>
        </w:rPr>
        <w:t xml:space="preserve">Any suggestions for improving similar interventions in the future. </w:t>
      </w:r>
    </w:p>
    <w:p w14:paraId="3CD2C056" w14:textId="77777777" w:rsidR="00A24667" w:rsidRPr="00346C95" w:rsidRDefault="00A24667" w:rsidP="00A24667">
      <w:pPr>
        <w:spacing w:after="0" w:line="240" w:lineRule="exact"/>
        <w:jc w:val="both"/>
        <w:rPr>
          <w:rFonts w:ascii="Arial" w:hAnsi="Arial" w:cs="Arial"/>
          <w:color w:val="000000"/>
        </w:rPr>
      </w:pPr>
    </w:p>
    <w:p w14:paraId="7C297D01" w14:textId="77777777" w:rsidR="00321321" w:rsidRDefault="00321321"/>
    <w:sectPr w:rsidR="00321321" w:rsidSect="00FB78C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CC3ABE" w14:textId="77777777" w:rsidR="0048747F" w:rsidRDefault="00166877">
      <w:pPr>
        <w:spacing w:after="0" w:line="240" w:lineRule="auto"/>
      </w:pPr>
      <w:r>
        <w:separator/>
      </w:r>
    </w:p>
  </w:endnote>
  <w:endnote w:type="continuationSeparator" w:id="0">
    <w:p w14:paraId="3BC7811D" w14:textId="77777777" w:rsidR="0048747F" w:rsidRDefault="00166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Helv">
    <w:panose1 w:val="00000000000000000000"/>
    <w:charset w:val="4D"/>
    <w:family w:val="swiss"/>
    <w:notTrueType/>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E8D24" w14:textId="77777777" w:rsidR="00527B38" w:rsidRDefault="00A24667" w:rsidP="00E872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7969E8" w14:textId="77777777" w:rsidR="00527B38" w:rsidRDefault="00F74966" w:rsidP="00DB6B1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1D9D6" w14:textId="77777777" w:rsidR="00527B38" w:rsidRDefault="00A24667" w:rsidP="00E872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4966">
      <w:rPr>
        <w:rStyle w:val="PageNumber"/>
        <w:noProof/>
      </w:rPr>
      <w:t>1</w:t>
    </w:r>
    <w:r>
      <w:rPr>
        <w:rStyle w:val="PageNumber"/>
      </w:rPr>
      <w:fldChar w:fldCharType="end"/>
    </w:r>
  </w:p>
  <w:p w14:paraId="162E9547" w14:textId="77777777" w:rsidR="00527B38" w:rsidRDefault="00F74966" w:rsidP="00DB6B15">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907E5" w14:textId="77777777" w:rsidR="00527B38" w:rsidRDefault="00F7496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D806E" w14:textId="77777777" w:rsidR="0048747F" w:rsidRDefault="00166877">
      <w:pPr>
        <w:spacing w:after="0" w:line="240" w:lineRule="auto"/>
      </w:pPr>
      <w:r>
        <w:separator/>
      </w:r>
    </w:p>
  </w:footnote>
  <w:footnote w:type="continuationSeparator" w:id="0">
    <w:p w14:paraId="3DBAA4AE" w14:textId="77777777" w:rsidR="0048747F" w:rsidRDefault="0016687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FC060" w14:textId="77777777" w:rsidR="00527B38" w:rsidRDefault="00F7496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F215D" w14:textId="77777777" w:rsidR="00527B38" w:rsidRPr="008A5CD1" w:rsidRDefault="00A24667" w:rsidP="008A5CD1">
    <w:pPr>
      <w:pStyle w:val="Header"/>
      <w:jc w:val="right"/>
      <w:rPr>
        <w:rFonts w:ascii="Arial" w:hAnsi="Arial" w:cs="Arial"/>
        <w:sz w:val="28"/>
        <w:szCs w:val="28"/>
      </w:rPr>
    </w:pPr>
    <w:r>
      <w:rPr>
        <w:rFonts w:ascii="Arial" w:hAnsi="Arial" w:cs="Arial"/>
      </w:rPr>
      <w:t xml:space="preserve">                       </w:t>
    </w:r>
    <w:r w:rsidRPr="008A5CD1">
      <w:rPr>
        <w:rFonts w:ascii="Arial" w:hAnsi="Arial" w:cs="Arial"/>
        <w:sz w:val="28"/>
        <w:szCs w:val="28"/>
      </w:rPr>
      <w:t>Annex:</w:t>
    </w:r>
    <w:r>
      <w:rPr>
        <w:rFonts w:ascii="Arial" w:hAnsi="Arial" w:cs="Arial"/>
        <w:sz w:val="28"/>
        <w:szCs w:val="28"/>
      </w:rPr>
      <w:t xml:space="preserve"> 8</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9F85E" w14:textId="77777777" w:rsidR="00527B38" w:rsidRDefault="00F7496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1366"/>
    <w:multiLevelType w:val="hybridMultilevel"/>
    <w:tmpl w:val="0FA0ACB6"/>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1">
    <w:nsid w:val="42B561B0"/>
    <w:multiLevelType w:val="hybridMultilevel"/>
    <w:tmpl w:val="7ADE3B76"/>
    <w:lvl w:ilvl="0" w:tplc="521C6AC8">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8D6CE494">
      <w:start w:val="1"/>
      <w:numFmt w:val="bullet"/>
      <w:lvlText w:val=""/>
      <w:lvlJc w:val="left"/>
      <w:pPr>
        <w:tabs>
          <w:tab w:val="num" w:pos="2124"/>
        </w:tabs>
        <w:ind w:left="1980" w:firstLine="0"/>
      </w:pPr>
      <w:rPr>
        <w:rFonts w:ascii="Symbol" w:hAnsi="Symbol" w:hint="default"/>
        <w:color w:val="auto"/>
        <w:sz w:val="2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FAC2F88"/>
    <w:multiLevelType w:val="hybridMultilevel"/>
    <w:tmpl w:val="58A07F3C"/>
    <w:lvl w:ilvl="0" w:tplc="8D6CE494">
      <w:start w:val="1"/>
      <w:numFmt w:val="bullet"/>
      <w:lvlText w:val=""/>
      <w:lvlJc w:val="left"/>
      <w:pPr>
        <w:tabs>
          <w:tab w:val="num" w:pos="1735"/>
        </w:tabs>
        <w:ind w:left="1591" w:firstLine="0"/>
      </w:pPr>
      <w:rPr>
        <w:rFonts w:ascii="Symbol" w:hAnsi="Symbol" w:hint="default"/>
        <w:color w:val="auto"/>
        <w:sz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73722D49"/>
    <w:multiLevelType w:val="hybridMultilevel"/>
    <w:tmpl w:val="B296928E"/>
    <w:lvl w:ilvl="0" w:tplc="8D6CE494">
      <w:start w:val="1"/>
      <w:numFmt w:val="bullet"/>
      <w:lvlText w:val=""/>
      <w:lvlJc w:val="left"/>
      <w:pPr>
        <w:tabs>
          <w:tab w:val="num" w:pos="1735"/>
        </w:tabs>
        <w:ind w:left="1591" w:firstLine="0"/>
      </w:pPr>
      <w:rPr>
        <w:rFonts w:ascii="Symbol" w:hAnsi="Symbol" w:hint="default"/>
        <w:color w:val="auto"/>
        <w:sz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667"/>
    <w:rsid w:val="00166877"/>
    <w:rsid w:val="00321321"/>
    <w:rsid w:val="0048747F"/>
    <w:rsid w:val="00A24667"/>
    <w:rsid w:val="00E21A12"/>
    <w:rsid w:val="00F74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68A7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667"/>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24667"/>
    <w:pPr>
      <w:tabs>
        <w:tab w:val="center" w:pos="4320"/>
        <w:tab w:val="right" w:pos="8640"/>
      </w:tabs>
    </w:pPr>
  </w:style>
  <w:style w:type="character" w:customStyle="1" w:styleId="FooterChar">
    <w:name w:val="Footer Char"/>
    <w:basedOn w:val="DefaultParagraphFont"/>
    <w:link w:val="Footer"/>
    <w:rsid w:val="00A24667"/>
    <w:rPr>
      <w:rFonts w:ascii="Calibri" w:eastAsia="Times New Roman" w:hAnsi="Calibri" w:cs="Times New Roman"/>
      <w:sz w:val="22"/>
      <w:szCs w:val="22"/>
    </w:rPr>
  </w:style>
  <w:style w:type="character" w:styleId="PageNumber">
    <w:name w:val="page number"/>
    <w:basedOn w:val="DefaultParagraphFont"/>
    <w:rsid w:val="00A24667"/>
  </w:style>
  <w:style w:type="paragraph" w:styleId="Header">
    <w:name w:val="header"/>
    <w:basedOn w:val="Normal"/>
    <w:link w:val="HeaderChar"/>
    <w:rsid w:val="00A24667"/>
    <w:pPr>
      <w:tabs>
        <w:tab w:val="center" w:pos="4320"/>
        <w:tab w:val="right" w:pos="8640"/>
      </w:tabs>
    </w:pPr>
  </w:style>
  <w:style w:type="character" w:customStyle="1" w:styleId="HeaderChar">
    <w:name w:val="Header Char"/>
    <w:basedOn w:val="DefaultParagraphFont"/>
    <w:link w:val="Header"/>
    <w:rsid w:val="00A24667"/>
    <w:rPr>
      <w:rFonts w:ascii="Calibri" w:eastAsia="Times New Roman" w:hAnsi="Calibri" w:cs="Times New Roman"/>
      <w:sz w:val="22"/>
      <w:szCs w:val="22"/>
    </w:rPr>
  </w:style>
  <w:style w:type="paragraph" w:styleId="BodyText2">
    <w:name w:val="Body Text 2"/>
    <w:basedOn w:val="Normal"/>
    <w:link w:val="BodyText2Char"/>
    <w:rsid w:val="00A24667"/>
    <w:pPr>
      <w:spacing w:after="0" w:line="240" w:lineRule="auto"/>
      <w:jc w:val="both"/>
    </w:pPr>
    <w:rPr>
      <w:rFonts w:ascii="Helv" w:eastAsia="SimSun" w:hAnsi="Helv"/>
      <w:snapToGrid w:val="0"/>
      <w:color w:val="000000"/>
      <w:szCs w:val="24"/>
      <w:lang w:val="x-none" w:eastAsia="zh-CN"/>
    </w:rPr>
  </w:style>
  <w:style w:type="character" w:customStyle="1" w:styleId="BodyText2Char">
    <w:name w:val="Body Text 2 Char"/>
    <w:basedOn w:val="DefaultParagraphFont"/>
    <w:link w:val="BodyText2"/>
    <w:rsid w:val="00A24667"/>
    <w:rPr>
      <w:rFonts w:ascii="Helv" w:eastAsia="SimSun" w:hAnsi="Helv" w:cs="Times New Roman"/>
      <w:snapToGrid w:val="0"/>
      <w:color w:val="000000"/>
      <w:sz w:val="22"/>
      <w:lang w:val="x-none" w:eastAsia="zh-CN"/>
    </w:rPr>
  </w:style>
  <w:style w:type="paragraph" w:styleId="BalloonText">
    <w:name w:val="Balloon Text"/>
    <w:basedOn w:val="Normal"/>
    <w:link w:val="BalloonTextChar"/>
    <w:uiPriority w:val="99"/>
    <w:semiHidden/>
    <w:unhideWhenUsed/>
    <w:rsid w:val="00F7496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74966"/>
    <w:rPr>
      <w:rFonts w:ascii="Lucida Grande" w:eastAsia="Times New Roman" w:hAnsi="Lucida Grande"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667"/>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24667"/>
    <w:pPr>
      <w:tabs>
        <w:tab w:val="center" w:pos="4320"/>
        <w:tab w:val="right" w:pos="8640"/>
      </w:tabs>
    </w:pPr>
  </w:style>
  <w:style w:type="character" w:customStyle="1" w:styleId="FooterChar">
    <w:name w:val="Footer Char"/>
    <w:basedOn w:val="DefaultParagraphFont"/>
    <w:link w:val="Footer"/>
    <w:rsid w:val="00A24667"/>
    <w:rPr>
      <w:rFonts w:ascii="Calibri" w:eastAsia="Times New Roman" w:hAnsi="Calibri" w:cs="Times New Roman"/>
      <w:sz w:val="22"/>
      <w:szCs w:val="22"/>
    </w:rPr>
  </w:style>
  <w:style w:type="character" w:styleId="PageNumber">
    <w:name w:val="page number"/>
    <w:basedOn w:val="DefaultParagraphFont"/>
    <w:rsid w:val="00A24667"/>
  </w:style>
  <w:style w:type="paragraph" w:styleId="Header">
    <w:name w:val="header"/>
    <w:basedOn w:val="Normal"/>
    <w:link w:val="HeaderChar"/>
    <w:rsid w:val="00A24667"/>
    <w:pPr>
      <w:tabs>
        <w:tab w:val="center" w:pos="4320"/>
        <w:tab w:val="right" w:pos="8640"/>
      </w:tabs>
    </w:pPr>
  </w:style>
  <w:style w:type="character" w:customStyle="1" w:styleId="HeaderChar">
    <w:name w:val="Header Char"/>
    <w:basedOn w:val="DefaultParagraphFont"/>
    <w:link w:val="Header"/>
    <w:rsid w:val="00A24667"/>
    <w:rPr>
      <w:rFonts w:ascii="Calibri" w:eastAsia="Times New Roman" w:hAnsi="Calibri" w:cs="Times New Roman"/>
      <w:sz w:val="22"/>
      <w:szCs w:val="22"/>
    </w:rPr>
  </w:style>
  <w:style w:type="paragraph" w:styleId="BodyText2">
    <w:name w:val="Body Text 2"/>
    <w:basedOn w:val="Normal"/>
    <w:link w:val="BodyText2Char"/>
    <w:rsid w:val="00A24667"/>
    <w:pPr>
      <w:spacing w:after="0" w:line="240" w:lineRule="auto"/>
      <w:jc w:val="both"/>
    </w:pPr>
    <w:rPr>
      <w:rFonts w:ascii="Helv" w:eastAsia="SimSun" w:hAnsi="Helv"/>
      <w:snapToGrid w:val="0"/>
      <w:color w:val="000000"/>
      <w:szCs w:val="24"/>
      <w:lang w:val="x-none" w:eastAsia="zh-CN"/>
    </w:rPr>
  </w:style>
  <w:style w:type="character" w:customStyle="1" w:styleId="BodyText2Char">
    <w:name w:val="Body Text 2 Char"/>
    <w:basedOn w:val="DefaultParagraphFont"/>
    <w:link w:val="BodyText2"/>
    <w:rsid w:val="00A24667"/>
    <w:rPr>
      <w:rFonts w:ascii="Helv" w:eastAsia="SimSun" w:hAnsi="Helv" w:cs="Times New Roman"/>
      <w:snapToGrid w:val="0"/>
      <w:color w:val="000000"/>
      <w:sz w:val="22"/>
      <w:lang w:val="x-none" w:eastAsia="zh-CN"/>
    </w:rPr>
  </w:style>
  <w:style w:type="paragraph" w:styleId="BalloonText">
    <w:name w:val="Balloon Text"/>
    <w:basedOn w:val="Normal"/>
    <w:link w:val="BalloonTextChar"/>
    <w:uiPriority w:val="99"/>
    <w:semiHidden/>
    <w:unhideWhenUsed/>
    <w:rsid w:val="00F7496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74966"/>
    <w:rPr>
      <w:rFonts w:ascii="Lucida Grande" w:eastAsia="Times New Roman"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1018</Words>
  <Characters>5809</Characters>
  <Application>Microsoft Macintosh Word</Application>
  <DocSecurity>0</DocSecurity>
  <Lines>48</Lines>
  <Paragraphs>13</Paragraphs>
  <ScaleCrop>false</ScaleCrop>
  <Company/>
  <LinksUpToDate>false</LinksUpToDate>
  <CharactersWithSpaces>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Nidup Tshering</dc:creator>
  <cp:keywords/>
  <dc:description/>
  <cp:lastModifiedBy>Nidup Tshering</cp:lastModifiedBy>
  <cp:revision>4</cp:revision>
  <dcterms:created xsi:type="dcterms:W3CDTF">2014-06-05T09:14:00Z</dcterms:created>
  <dcterms:modified xsi:type="dcterms:W3CDTF">2014-06-05T09:29:00Z</dcterms:modified>
</cp:coreProperties>
</file>